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克州教育工会</w:t>
      </w:r>
    </w:p>
    <w:p>
      <w:pPr>
        <w:spacing w:line="540" w:lineRule="exact"/>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2022年03月25日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（一）单位基本情况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一是开展教书育人、管理育人、服务育人活动。调动教职工的积极性，推进教育改革，提高教育质量。二是做好教职工思想政治工作，坚持进行党的基本路线教育、形势教育和法制教育，搞好群众性自我教育活动。三是依法维护教职工民主权利，开好教职工代表大会，健全民主制度,加强民主监督，增强教职工主人翁责任感，民主管理学校。四是保障教职工生活福利，协助和督促行政方面办好教职工集体福利事业；开展教职工互助互济活动，搞好教职工生活困难补助;组织无偿服务，加强扶贫工作；兴办小福利设施，改善生活和工作条件。协助有关方面做好离退休教职工及其家属的工作,解除教职工的后顾之忧。五是开展有益于教职工身心健康的文化、体育活动。坚持业余自愿、小型多样、勤俭节约、讲求实效的原则。从实际出发，充实活动内容，提高活动质量。六是维护女教职工和儿童的合法权益，同歧视、虐待、摧残、迫害妇女儿童的现象作斗争。针对女教职工的特殊问题,做好保护工作。七是收好、管好、用好工会经费，管理好工会财产。八是加强工会自身建设，坚持工会群众化和民主化,搞好工会小组工作。接收新会员，对会员进行工会基本知识教育。</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克州教育工会无下属预算单位，下设0个科室，分别是：无。</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克州教育工会编制数5名，实有人数9人，其中：在职5人，增加或减少0人；退休4人，增加或减少0人；离休0人，增加或减少0人。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今年对我州229所中小学、幼儿园的工会主席进行了分4次相关法律法规以及工会业务知识的专题培训，不断增强工会干部谋划工作、解决实际问题的能力和本领，努力造就一支适应新时代发展要求，政治过硬、业务熟练、教职工信赖的高素质工会干部队伍。二是围绕完善服务教职工的机制体制，困难教职工帮扶工作取得新成绩。加强与学校的协调和沟通，健全和完善困难职工电子档案，加大了对教育系统困难职工家庭的帮扶力度，提升对困难教职工服务的水平。对低收入困难职工家庭，适当提高生活救助标准，对因病、子女上学造成困难的职工家庭，积极提供医疗和助学救助，春节期间、教师节期间慰问州直9所学校202名教职工、慰问总金额50600元，为全州18名困难教职工1000-6000元不等给予医疗救助、总金额56000元，有条件的学校工会正探索建立教职工心理健康、法律服务咨询、维权服务等服务教职工的平台。</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教育工会单位内部控制规范》，主要内容包括如下几个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（2）收支管理：领导层是本单位收支业务管理的决策部门，负责审批单位收支业务等事项。涉及“三重一大”事项，根据《克州教育工会集体决策制度》和《克州教育工会项目管理办法》办理。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教育工会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教育工会合同管理办法》相关规定，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（二）单位资金分配情况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46.06万元，项目支出安排资金0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本单位2021年度项目支出0万元，涉及项目数量0个，其中：重点项目支出0万元，涉及重点项目数量0个，重点项目支出与部门项目总支出的比率为0%。</w:t>
      </w:r>
      <w:r>
        <w:rPr>
          <w:rFonts w:hint="eastAsia" w:ascii="仿宋_GB2312" w:hAnsi="宋体" w:eastAsia="仿宋_GB2312"/>
          <w:b w:val="0"/>
          <w:bCs/>
          <w:sz w:val="32"/>
          <w:szCs w:val="32"/>
        </w:rPr>
        <w:cr/>
      </w:r>
      <w:r>
        <w:rPr>
          <w:rFonts w:hint="eastAsia" w:ascii="仿宋_GB2312" w:hAnsi="宋体" w:eastAsia="仿宋_GB2312"/>
          <w:b w:val="0"/>
          <w:bCs/>
          <w:sz w:val="32"/>
          <w:szCs w:val="32"/>
        </w:rPr>
        <w:t>　　（三）部门单位整体支出规模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2021年度本单位年初批复部门预算资金总额为28.11万元，年中调增预算总额为17.95万元，调整后全年预算资金总额为46.06万元。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2021年度本单位部门整体支出资金总额为46.06万元，预算执行率为100%，预算调整率为</w:t>
      </w:r>
      <w:r>
        <w:rPr>
          <w:rFonts w:hint="eastAsia" w:ascii="仿宋_GB2312" w:hAnsi="宋体" w:eastAsia="仿宋_GB2312"/>
          <w:b w:val="0"/>
          <w:bCs/>
          <w:sz w:val="32"/>
          <w:szCs w:val="32"/>
          <w:lang w:val="en-US" w:eastAsia="zh-CN"/>
        </w:rPr>
        <w:t>63.86</w:t>
      </w:r>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年初政府采购预算数为0万元，实际政府采购数为0万元，政府采购执行率为0%。</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w:t>
      </w:r>
      <w:bookmarkStart w:id="1" w:name="_GoBack"/>
      <w:bookmarkEnd w:id="1"/>
      <w:r>
        <w:rPr>
          <w:rFonts w:hint="eastAsia" w:ascii="仿宋_GB2312" w:hAnsi="宋体" w:eastAsia="仿宋_GB2312"/>
          <w:b w:val="0"/>
          <w:bCs/>
          <w:sz w:val="32"/>
          <w:szCs w:val="32"/>
        </w:rPr>
        <w:t>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的管理及使用情况；二是部门单位整体支出绩效情况，具体涉及部门单位整体支出绩效目标的实现程度，包括是否达到预定产出、效果和效益效率等；三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二是资产管理情况具体涉及资产管理规范性和固定资产利用率；三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为加强我单位预算管理、规范财务行为我单位制定了《克州教育工会内部控制规范》《克州教育工会项目管理规范》等资金管理制度，已建立制度均健全且有效运行。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2021年度我单位基本支出预算总额为46.06万元，其中人员经费45.43万元，公用经费0.64万元。实际执行总额46.06万元，预算执行率100%。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2021年度一般公共预算“三公”经费年初预算数为0万元，支出决算0万元，主要原因是：我单位年初未安排三公经费。</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我单位2021年度未安排项目资金预算。</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无。</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本单位2021年初资产合计数为0万元，年末资产合计数为0万元。</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部门单位整体支出共设置一级指标3个，二级指标7个，三级指标18个，其中已完成三级指标18个，指标完成率为100%。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“保障单位实有干部职工人数”指标：预期指标值为9人，实际完成指标值为9人，指标完成率为100%。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“保障单位在编干部职工人数”指标：预期指标值为5人，实际完成指标值5人，指标完成率为100%。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“保障单位离退休干部职工人数”指标：预期指标值为4人，实际完成指标值为4人，指标完成率为100%。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“困难教职工帮扶”指标：预期指标值为≥19人，实际完成指标值为19人，指标完成率为100%。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“开展培训”指标：预期指标值为≥2次，实际完成指标值为2次，指标完成率为100%。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“绩效考核合格率”指标：预期指标值为100%，实际完成指标值为95%，指标完成率为100%。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“资金使用合规率”指标：预期指标值为100%，实际完成指标值为100%，指标完成率为100%。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“公用经费控制率”指标：预期指标值为100%，实际完成指标值为100%，指标完成率为100%。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“预算拨付及时率”指标：预期指标值为100%，实际完成指标值为100%，指标完成率为100%。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“年度部门单位各项任务按期完成率”指标：预期指标值为100%，实际完成指标值为100%，指标完成率为100%。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“资金支付及时率”指标：预期指标值为100%，实际完成指标值为100%，指标完成率为100%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（4）　　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“人员经费每月支付经费数”指标：预期指标值为≤2.32万元/月万元，实际完成指标值为2.32万元/月，指标完成率为100%。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“公用经费”指标：预期指标值为≤0.26万元，实际完成指标值为0.26万元，指标完成率为100%。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无该项指标。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“公共服务质量提升情况”指标：预期指标值为效果显著，实际完成指标值为效果显著，指标完成率为100%。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“业务保障能力提升情况”指标：预期指标值为明显提升，实际完成指标值为为明显提升，指标完成率为100%。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无该项指标。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“维护职工合法权益”指标：预期指标值为长期，实际完成指标值为长期，指标完成率为100%。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“干部职工满意度”指标：预期指标值为≥95%，实际完成指标值为95%，指标完成率为100%。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“受益工作人员满意度”指标：预期指标值为≥95%，实际完成指标值为95%，指标完成率为100%。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200F4073"/>
    <w:rsid w:val="24B86128"/>
    <w:rsid w:val="39FC3A9C"/>
    <w:rsid w:val="49C76D4F"/>
    <w:rsid w:val="51C70EA9"/>
    <w:rsid w:val="54F842B6"/>
    <w:rsid w:val="656071F2"/>
    <w:rsid w:val="6BF1756B"/>
    <w:rsid w:val="6F5E1AA3"/>
    <w:rsid w:val="76033618"/>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29</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2022-05-23T14:06:54Z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